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55FF" w:rsidRPr="00FD41E9" w:rsidRDefault="00BA55FF" w:rsidP="00BA55FF">
      <w:pPr>
        <w:tabs>
          <w:tab w:val="left" w:pos="426"/>
          <w:tab w:val="left" w:pos="851"/>
          <w:tab w:val="left" w:pos="993"/>
        </w:tabs>
        <w:ind w:firstLine="709"/>
        <w:jc w:val="right"/>
        <w:rPr>
          <w:rFonts w:ascii="Arial" w:hAnsi="Arial" w:cs="Arial"/>
          <w:i/>
          <w:iCs/>
          <w:color w:val="000000" w:themeColor="text1"/>
          <w:sz w:val="24"/>
          <w:szCs w:val="24"/>
          <w:lang w:eastAsia="en-US"/>
        </w:rPr>
      </w:pPr>
      <w:r w:rsidRPr="00FD41E9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  </w:t>
      </w:r>
      <w:r w:rsidRPr="00FD41E9">
        <w:rPr>
          <w:rFonts w:ascii="Arial" w:hAnsi="Arial" w:cs="Arial"/>
          <w:i/>
          <w:iCs/>
          <w:color w:val="000000" w:themeColor="text1"/>
          <w:sz w:val="24"/>
          <w:szCs w:val="24"/>
          <w:lang w:eastAsia="en-US"/>
        </w:rPr>
        <w:t xml:space="preserve">Приложение №1 </w:t>
      </w:r>
    </w:p>
    <w:p w:rsidR="00BA55FF" w:rsidRPr="00FD41E9" w:rsidRDefault="00BA55FF" w:rsidP="00BA55FF">
      <w:pPr>
        <w:pStyle w:val="a3"/>
        <w:tabs>
          <w:tab w:val="left" w:pos="426"/>
          <w:tab w:val="left" w:pos="851"/>
        </w:tabs>
        <w:ind w:firstLine="709"/>
        <w:jc w:val="center"/>
        <w:rPr>
          <w:rFonts w:ascii="Arial" w:hAnsi="Arial" w:cs="Arial"/>
          <w:b/>
          <w:bCs/>
        </w:rPr>
      </w:pPr>
    </w:p>
    <w:p w:rsidR="00BA55FF" w:rsidRPr="00FD41E9" w:rsidRDefault="00BA55FF" w:rsidP="00BA55FF">
      <w:pPr>
        <w:pStyle w:val="a3"/>
        <w:tabs>
          <w:tab w:val="left" w:pos="426"/>
          <w:tab w:val="left" w:pos="851"/>
        </w:tabs>
        <w:ind w:firstLine="709"/>
        <w:jc w:val="center"/>
        <w:rPr>
          <w:rFonts w:ascii="Arial" w:hAnsi="Arial" w:cs="Arial"/>
          <w:b/>
          <w:bCs/>
        </w:rPr>
      </w:pPr>
      <w:r w:rsidRPr="00FD41E9">
        <w:rPr>
          <w:rFonts w:ascii="Arial" w:hAnsi="Arial" w:cs="Arial"/>
          <w:b/>
          <w:bCs/>
        </w:rPr>
        <w:t>Квалификационные требования к потенциальным инвесторам.</w:t>
      </w:r>
    </w:p>
    <w:p w:rsidR="00BA55FF" w:rsidRPr="00FD41E9" w:rsidRDefault="00BA55FF" w:rsidP="00BA55FF">
      <w:pPr>
        <w:tabs>
          <w:tab w:val="left" w:pos="426"/>
          <w:tab w:val="left" w:pos="851"/>
          <w:tab w:val="left" w:pos="993"/>
        </w:tabs>
        <w:ind w:firstLine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en-US"/>
        </w:rPr>
      </w:pPr>
    </w:p>
    <w:p w:rsidR="00BA55FF" w:rsidRPr="00FD41E9" w:rsidRDefault="00BA55FF" w:rsidP="00BA55FF">
      <w:pPr>
        <w:tabs>
          <w:tab w:val="left" w:pos="426"/>
          <w:tab w:val="left" w:pos="851"/>
          <w:tab w:val="left" w:pos="993"/>
        </w:tabs>
        <w:ind w:firstLine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en-US"/>
        </w:rPr>
      </w:pPr>
      <w:r w:rsidRPr="00FD41E9">
        <w:rPr>
          <w:rFonts w:ascii="Arial" w:hAnsi="Arial" w:cs="Arial"/>
          <w:color w:val="000000" w:themeColor="text1"/>
          <w:sz w:val="24"/>
          <w:szCs w:val="24"/>
          <w:lang w:eastAsia="en-US"/>
        </w:rPr>
        <w:t>Квалификационные требования для заявителей на конкурс по отбору потенциальных инвесторов:</w:t>
      </w:r>
    </w:p>
    <w:p w:rsidR="00BA55FF" w:rsidRDefault="00BA55FF" w:rsidP="00BA55FF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FD41E9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Наличие государственной регистрации индивидуального предпринимателя, юридического лица и членов консорциума </w:t>
      </w:r>
      <w:r w:rsidRPr="00FD41E9">
        <w:rPr>
          <w:rFonts w:ascii="Arial" w:hAnsi="Arial" w:cs="Arial"/>
          <w:i/>
          <w:iCs/>
          <w:color w:val="000000" w:themeColor="text1"/>
          <w:sz w:val="24"/>
          <w:szCs w:val="24"/>
          <w:lang w:eastAsia="en-US"/>
        </w:rPr>
        <w:t xml:space="preserve">(при консорциальном соглашении) </w:t>
      </w:r>
      <w:r w:rsidRPr="00FD41E9">
        <w:rPr>
          <w:rFonts w:ascii="Arial" w:hAnsi="Arial" w:cs="Arial"/>
          <w:color w:val="000000" w:themeColor="text1"/>
          <w:sz w:val="24"/>
          <w:szCs w:val="24"/>
          <w:lang w:eastAsia="en-US"/>
        </w:rPr>
        <w:t>не менее 6 месяцев, предшествующих дате подачи заявки. При этом допускается, чтобы совокупный срок регистрации участников консорциума соответствовал требованию, если хотя бы один из них зарегистрирован не менее 6 месяцев;</w:t>
      </w:r>
    </w:p>
    <w:p w:rsidR="00BA55FF" w:rsidRPr="00FD41E9" w:rsidRDefault="00BA55FF" w:rsidP="00BA55FF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Опыт работы в сфере предоставления услуг по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eastAsia="en-US"/>
        </w:rPr>
        <w:t>электрозарядке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 электроавтомобилей не менее 6 месяцев – подтверждается наличием ЭЗС на балансе заявителя или договорами арендами;</w:t>
      </w:r>
    </w:p>
    <w:p w:rsidR="00BA55FF" w:rsidRPr="00FD41E9" w:rsidRDefault="00BA55FF" w:rsidP="00BA55FF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FD41E9">
        <w:rPr>
          <w:rFonts w:ascii="Arial" w:hAnsi="Arial" w:cs="Arial"/>
          <w:color w:val="000000" w:themeColor="text1"/>
          <w:sz w:val="24"/>
          <w:szCs w:val="24"/>
          <w:lang w:eastAsia="en-US"/>
        </w:rPr>
        <w:t>Отсутствие текущих процедур банкротства и/или ликвидации, реабилитации. Инвестор на момент подачи заявки не является стороной в судебных разбирательствах, на инвестора и его имущество не имеется исполнительного производства. Инвестор и его руководители, учредители не включены в перечень организаций и лиц, связанных с финансированием терроризма и экстремизма;</w:t>
      </w:r>
    </w:p>
    <w:p w:rsidR="00BA55FF" w:rsidRPr="00FD41E9" w:rsidRDefault="00BA55FF" w:rsidP="00BA55FF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FD41E9">
        <w:rPr>
          <w:rFonts w:ascii="Arial" w:hAnsi="Arial" w:cs="Arial"/>
          <w:color w:val="000000" w:themeColor="text1"/>
          <w:sz w:val="24"/>
          <w:szCs w:val="24"/>
          <w:lang w:eastAsia="en-US"/>
        </w:rPr>
        <w:t>Безубыточная деятельность за последние 2 года и последний отчетный период потенциального инвестора или его дочернего, аффилированного предприятия</w:t>
      </w:r>
      <w:r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 (участника проекта)</w:t>
      </w:r>
      <w:r w:rsidRPr="00FD41E9">
        <w:rPr>
          <w:rFonts w:ascii="Arial" w:hAnsi="Arial" w:cs="Arial"/>
          <w:color w:val="000000" w:themeColor="text1"/>
          <w:sz w:val="24"/>
          <w:szCs w:val="24"/>
          <w:lang w:eastAsia="en-US"/>
        </w:rPr>
        <w:t>, предшествующие дате подачи заявки, согласно финансовой отчетности. В случае срока регистрации юридического лица менее 2 лет обеспечить документами показывающий безубыточной деятельность за весь период с момента его регистрации. Подтверждение безубыточности может осуществляться в совокупности по итогам всех указанных периодов;</w:t>
      </w:r>
    </w:p>
    <w:p w:rsidR="00BA55FF" w:rsidRPr="00FD41E9" w:rsidRDefault="00BA55FF" w:rsidP="00BA55FF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FD41E9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Отсутствие просроченной задолженности по налогам и иным обязательным платежам, а также </w:t>
      </w:r>
      <w:r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неоплаченной или </w:t>
      </w:r>
      <w:r w:rsidRPr="00FD41E9">
        <w:rPr>
          <w:rFonts w:ascii="Arial" w:hAnsi="Arial" w:cs="Arial"/>
          <w:color w:val="000000" w:themeColor="text1"/>
          <w:sz w:val="24"/>
          <w:szCs w:val="24"/>
          <w:lang w:eastAsia="en-US"/>
        </w:rPr>
        <w:t>просроченной задолженности</w:t>
      </w:r>
      <w:r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 (в т.ч. обязательств нематериального характера)</w:t>
      </w:r>
      <w:r w:rsidRPr="00FD41E9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 перед </w:t>
      </w:r>
      <w:r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АО «СПК «Алматы» и </w:t>
      </w:r>
      <w:r w:rsidRPr="00FD41E9">
        <w:rPr>
          <w:rFonts w:ascii="Arial" w:hAnsi="Arial" w:cs="Arial"/>
          <w:color w:val="000000" w:themeColor="text1"/>
          <w:sz w:val="24"/>
          <w:szCs w:val="24"/>
          <w:lang w:eastAsia="en-US"/>
        </w:rPr>
        <w:t>финансовыми организациями;</w:t>
      </w:r>
    </w:p>
    <w:p w:rsidR="00BA55FF" w:rsidRPr="006F4455" w:rsidRDefault="00BA55FF" w:rsidP="00BA55FF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6F4455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Потенциальный инвестор вносит гарантийное обеспечение в размере                  </w:t>
      </w:r>
      <w:r w:rsidRPr="00EE6470">
        <w:rPr>
          <w:rFonts w:ascii="Arial" w:hAnsi="Arial" w:cs="Arial"/>
          <w:b/>
          <w:bCs/>
          <w:color w:val="000000" w:themeColor="text1"/>
          <w:sz w:val="24"/>
          <w:szCs w:val="24"/>
          <w:lang w:eastAsia="en-US"/>
        </w:rPr>
        <w:t>300 МРП по каждому лоту</w:t>
      </w:r>
      <w:r w:rsidRPr="006F4455">
        <w:rPr>
          <w:rFonts w:ascii="Arial" w:hAnsi="Arial" w:cs="Arial"/>
          <w:color w:val="000000" w:themeColor="text1"/>
          <w:sz w:val="24"/>
          <w:szCs w:val="24"/>
          <w:lang w:eastAsia="en-US"/>
        </w:rPr>
        <w:t>, на участие в котором подается заявка. В случае подачи заявки на участие в нескольких лотах гарантийное обеспечение вносится суммарно за все заявленные лоты. Возврат гарантийного обеспечения осуществляется по каждому лоту отдельно участникам, не признанным победителями по соответствующему лоту, в течение 15 (пятнадцать) рабочих дней с даты подведения итогов конкурса.</w:t>
      </w:r>
      <w:r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 xml:space="preserve"> </w:t>
      </w:r>
      <w:r w:rsidRPr="006F4455"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 xml:space="preserve">В </w:t>
      </w:r>
      <w:proofErr w:type="spellStart"/>
      <w:r w:rsidRPr="006F4455"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>части</w:t>
      </w:r>
      <w:proofErr w:type="spellEnd"/>
      <w:r w:rsidRPr="006F4455"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 xml:space="preserve"> </w:t>
      </w:r>
      <w:proofErr w:type="spellStart"/>
      <w:r w:rsidRPr="006F4455"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>лота</w:t>
      </w:r>
      <w:proofErr w:type="spellEnd"/>
      <w:r w:rsidRPr="006F4455"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 xml:space="preserve">, </w:t>
      </w:r>
      <w:proofErr w:type="spellStart"/>
      <w:r w:rsidRPr="006F4455"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>по</w:t>
      </w:r>
      <w:proofErr w:type="spellEnd"/>
      <w:r w:rsidRPr="006F4455"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 xml:space="preserve"> </w:t>
      </w:r>
      <w:proofErr w:type="spellStart"/>
      <w:r w:rsidRPr="006F4455"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>которому</w:t>
      </w:r>
      <w:proofErr w:type="spellEnd"/>
      <w:r w:rsidRPr="006F4455"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 xml:space="preserve"> </w:t>
      </w:r>
      <w:proofErr w:type="spellStart"/>
      <w:r w:rsidRPr="006F4455"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>участник</w:t>
      </w:r>
      <w:proofErr w:type="spellEnd"/>
      <w:r w:rsidRPr="006F4455"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 xml:space="preserve"> </w:t>
      </w:r>
      <w:proofErr w:type="spellStart"/>
      <w:r w:rsidRPr="006F4455"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>признан</w:t>
      </w:r>
      <w:proofErr w:type="spellEnd"/>
      <w:r w:rsidRPr="006F4455"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 xml:space="preserve"> </w:t>
      </w:r>
      <w:proofErr w:type="spellStart"/>
      <w:r w:rsidRPr="006F4455"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>победителем</w:t>
      </w:r>
      <w:proofErr w:type="spellEnd"/>
      <w:r w:rsidRPr="006F4455"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 xml:space="preserve">, </w:t>
      </w:r>
      <w:proofErr w:type="spellStart"/>
      <w:r w:rsidRPr="006F4455"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>гарантийное</w:t>
      </w:r>
      <w:proofErr w:type="spellEnd"/>
      <w:r w:rsidRPr="006F4455"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 xml:space="preserve"> </w:t>
      </w:r>
      <w:proofErr w:type="spellStart"/>
      <w:r w:rsidRPr="006F4455"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>обеспечение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>остается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>на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>счетах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>Общества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>на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>весь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>срок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>действия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>проектного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>соглашения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 xml:space="preserve"> и</w:t>
      </w:r>
      <w:r w:rsidRPr="006F4455"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 xml:space="preserve"> </w:t>
      </w:r>
      <w:proofErr w:type="spellStart"/>
      <w:r w:rsidRPr="006F4455"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>возвращается</w:t>
      </w:r>
      <w:proofErr w:type="spellEnd"/>
      <w:r w:rsidRPr="006F4455"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 xml:space="preserve"> </w:t>
      </w:r>
      <w:proofErr w:type="spellStart"/>
      <w:r w:rsidRPr="006F4455"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>после</w:t>
      </w:r>
      <w:proofErr w:type="spellEnd"/>
      <w:r w:rsidRPr="006F4455"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 xml:space="preserve"> </w:t>
      </w:r>
      <w:proofErr w:type="spellStart"/>
      <w:r w:rsidRPr="006F4455"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>исполнения</w:t>
      </w:r>
      <w:proofErr w:type="spellEnd"/>
      <w:r w:rsidRPr="006F4455"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 xml:space="preserve"> </w:t>
      </w:r>
      <w:proofErr w:type="spellStart"/>
      <w:r w:rsidRPr="006F4455"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>всех</w:t>
      </w:r>
      <w:proofErr w:type="spellEnd"/>
      <w:r w:rsidRPr="006F4455"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 xml:space="preserve"> </w:t>
      </w:r>
      <w:proofErr w:type="spellStart"/>
      <w:r w:rsidRPr="006F4455"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>обязательств</w:t>
      </w:r>
      <w:proofErr w:type="spellEnd"/>
      <w:r w:rsidRPr="006F4455"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 xml:space="preserve">, </w:t>
      </w:r>
      <w:proofErr w:type="spellStart"/>
      <w:r w:rsidRPr="006F4455"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>предусмотренных</w:t>
      </w:r>
      <w:proofErr w:type="spellEnd"/>
      <w:r w:rsidRPr="006F4455"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 xml:space="preserve"> </w:t>
      </w:r>
      <w:proofErr w:type="spellStart"/>
      <w:r w:rsidRPr="006F4455"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>конкурсной</w:t>
      </w:r>
      <w:proofErr w:type="spellEnd"/>
      <w:r w:rsidRPr="006F4455"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 xml:space="preserve"> </w:t>
      </w:r>
      <w:proofErr w:type="spellStart"/>
      <w:r w:rsidRPr="006F4455"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>документацией</w:t>
      </w:r>
      <w:proofErr w:type="spellEnd"/>
      <w:r w:rsidRPr="006F4455"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 xml:space="preserve"> и/</w:t>
      </w:r>
      <w:proofErr w:type="spellStart"/>
      <w:r w:rsidRPr="006F4455"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>или</w:t>
      </w:r>
      <w:proofErr w:type="spellEnd"/>
      <w:r w:rsidRPr="006F4455"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 xml:space="preserve"> </w:t>
      </w:r>
      <w:proofErr w:type="spellStart"/>
      <w:r w:rsidRPr="006F4455"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>проектным</w:t>
      </w:r>
      <w:proofErr w:type="spellEnd"/>
      <w:r w:rsidRPr="006F4455"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 xml:space="preserve"> </w:t>
      </w:r>
      <w:proofErr w:type="spellStart"/>
      <w:r w:rsidRPr="006F4455"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>соглашением</w:t>
      </w:r>
      <w:proofErr w:type="spellEnd"/>
      <w:r w:rsidRPr="006F4455">
        <w:rPr>
          <w:rFonts w:ascii="Arial" w:hAnsi="Arial" w:cs="Arial"/>
          <w:color w:val="000000" w:themeColor="text1"/>
          <w:sz w:val="24"/>
          <w:szCs w:val="24"/>
          <w:lang w:val="kk-KZ" w:eastAsia="en-US"/>
        </w:rPr>
        <w:t>;</w:t>
      </w:r>
    </w:p>
    <w:p w:rsidR="00BA55FF" w:rsidRPr="00FD41E9" w:rsidRDefault="00BA55FF" w:rsidP="00BA55FF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FD41E9">
        <w:rPr>
          <w:rFonts w:ascii="Arial" w:hAnsi="Arial" w:cs="Arial"/>
          <w:b/>
          <w:bCs/>
          <w:color w:val="000000" w:themeColor="text1"/>
          <w:sz w:val="24"/>
          <w:szCs w:val="24"/>
          <w:lang w:eastAsia="en-US"/>
        </w:rPr>
        <w:t>Наличие бизнес-плана и финансовой модели</w:t>
      </w:r>
      <w:r w:rsidRPr="00FD41E9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 совместного инвестиционного проекта;</w:t>
      </w:r>
    </w:p>
    <w:p w:rsidR="00BA55FF" w:rsidRDefault="00BA55FF" w:rsidP="00BA55FF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EE6470">
        <w:rPr>
          <w:rFonts w:ascii="Arial" w:hAnsi="Arial" w:cs="Arial"/>
          <w:b/>
          <w:bCs/>
          <w:color w:val="000000" w:themeColor="text1"/>
          <w:sz w:val="24"/>
          <w:szCs w:val="24"/>
          <w:lang w:eastAsia="en-US"/>
        </w:rPr>
        <w:t>Наличие концепции совместного инвестиционного проекта</w:t>
      </w:r>
      <w:r w:rsidRPr="00FD41E9">
        <w:rPr>
          <w:rFonts w:ascii="Arial" w:hAnsi="Arial" w:cs="Arial"/>
          <w:color w:val="000000" w:themeColor="text1"/>
          <w:sz w:val="24"/>
          <w:szCs w:val="24"/>
          <w:lang w:eastAsia="en-US"/>
        </w:rPr>
        <w:t>, которая должна включать четкое описание целей, функциональности, планируемой деятельности, ожидаемого социального эффекта;</w:t>
      </w:r>
    </w:p>
    <w:p w:rsidR="00BA55FF" w:rsidRDefault="00BA55FF" w:rsidP="00BA55FF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eastAsia="en-US"/>
        </w:rPr>
        <w:lastRenderedPageBreak/>
        <w:t>Наличие типового эскизного решения соответствующего параметрам дизайн-кода города Алматы;</w:t>
      </w:r>
    </w:p>
    <w:p w:rsidR="00BA55FF" w:rsidRPr="002A594B" w:rsidRDefault="00BA55FF" w:rsidP="00BA55FF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2A594B">
        <w:rPr>
          <w:rFonts w:ascii="Arial" w:hAnsi="Arial" w:cs="Arial"/>
          <w:b/>
          <w:bCs/>
          <w:color w:val="000000" w:themeColor="text1"/>
          <w:sz w:val="24"/>
          <w:szCs w:val="24"/>
          <w:lang w:eastAsia="en-US"/>
        </w:rPr>
        <w:t xml:space="preserve">Документально подтвержденное наличие собственных или заемных средств </w:t>
      </w:r>
      <w:r w:rsidRPr="002A594B">
        <w:rPr>
          <w:rFonts w:ascii="Arial" w:hAnsi="Arial" w:cs="Arial"/>
          <w:color w:val="000000" w:themeColor="text1"/>
          <w:sz w:val="24"/>
          <w:szCs w:val="24"/>
          <w:lang w:eastAsia="en-US"/>
        </w:rPr>
        <w:t>в том числе, но не ограничиваясь предоставлением банковской гарантии договором финансирования третьей стороной (с подтверждением наличия средств) для реализации Проекта, в сумме не менее указанной в бизнес-плане и инвестиционной заявке, при этом нематериальные активы, ТМЦ и иные запасы не учитываются</w:t>
      </w:r>
      <w:r>
        <w:rPr>
          <w:rFonts w:ascii="Arial" w:hAnsi="Arial" w:cs="Arial"/>
          <w:color w:val="000000" w:themeColor="text1"/>
          <w:sz w:val="24"/>
          <w:szCs w:val="24"/>
          <w:lang w:eastAsia="en-US"/>
        </w:rPr>
        <w:t>.</w:t>
      </w:r>
    </w:p>
    <w:p w:rsidR="00BA55FF" w:rsidRDefault="00BA55FF"/>
    <w:sectPr w:rsidR="00BA55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B1EB7"/>
    <w:multiLevelType w:val="hybridMultilevel"/>
    <w:tmpl w:val="FDEA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0875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5FF"/>
    <w:rsid w:val="00BA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2AC17E7-5201-084D-928E-4A4085FD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5FF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55FF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2026-07-24T11:05:00Z</dcterms:created>
  <dcterms:modified xsi:type="dcterms:W3CDTF">2026-07-24T11:05:00Z</dcterms:modified>
</cp:coreProperties>
</file>