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96" w:rsidRDefault="00235296" w:rsidP="00235296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Приложение №1 </w:t>
      </w:r>
    </w:p>
    <w:p w:rsidR="00235296" w:rsidRDefault="00235296" w:rsidP="00235296">
      <w:pPr>
        <w:pStyle w:val="a3"/>
        <w:jc w:val="center"/>
        <w:rPr>
          <w:rFonts w:ascii="Arial" w:hAnsi="Arial" w:cs="Arial"/>
          <w:b/>
          <w:bCs/>
        </w:rPr>
      </w:pPr>
    </w:p>
    <w:p w:rsidR="00235296" w:rsidRDefault="00235296" w:rsidP="00235296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235296" w:rsidRDefault="00235296" w:rsidP="00235296">
      <w:pPr>
        <w:pStyle w:val="a3"/>
        <w:jc w:val="both"/>
        <w:rPr>
          <w:rFonts w:ascii="Arial" w:hAnsi="Arial" w:cs="Arial"/>
        </w:rPr>
      </w:pPr>
    </w:p>
    <w:p w:rsidR="00235296" w:rsidRDefault="00235296" w:rsidP="00235296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</w:rPr>
        <w:t xml:space="preserve">. </w:t>
      </w:r>
      <w:r w:rsidRPr="00B3600C">
        <w:rPr>
          <w:rFonts w:ascii="Arial" w:hAnsi="Arial" w:cs="Arial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Отсутствие текущих процедур банкротства и/или ликвидации, реабилитации. </w:t>
      </w:r>
      <w:r w:rsidRPr="00A87940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производства.</w:t>
      </w:r>
      <w:r>
        <w:rPr>
          <w:rFonts w:ascii="Arial" w:hAnsi="Arial" w:cs="Arial"/>
        </w:rPr>
        <w:t xml:space="preserve">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235296" w:rsidRPr="0077310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</w:rPr>
        <w:t xml:space="preserve">. </w:t>
      </w:r>
      <w:r w:rsidRPr="00AF3E9E">
        <w:rPr>
          <w:rFonts w:ascii="Arial" w:hAnsi="Arial" w:cs="Arial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гарантийного </w:t>
      </w:r>
      <w:r w:rsidRPr="001F3217">
        <w:rPr>
          <w:rFonts w:ascii="Arial" w:hAnsi="Arial" w:cs="Arial"/>
        </w:rPr>
        <w:t xml:space="preserve">обеспечения </w:t>
      </w:r>
      <w:r w:rsidRPr="001F3217">
        <w:rPr>
          <w:rFonts w:ascii="Arial" w:hAnsi="Arial" w:cs="Arial"/>
          <w:b/>
          <w:bCs/>
        </w:rPr>
        <w:t xml:space="preserve">в размере </w:t>
      </w:r>
      <w:r>
        <w:rPr>
          <w:rFonts w:ascii="Arial" w:hAnsi="Arial" w:cs="Arial"/>
          <w:b/>
          <w:bCs/>
        </w:rPr>
        <w:t>300</w:t>
      </w:r>
      <w:r w:rsidRPr="001F3217">
        <w:rPr>
          <w:rFonts w:ascii="Arial" w:hAnsi="Arial" w:cs="Arial"/>
          <w:b/>
          <w:bCs/>
        </w:rPr>
        <w:t xml:space="preserve"> МРП</w:t>
      </w:r>
      <w:r>
        <w:rPr>
          <w:rFonts w:ascii="Arial" w:hAnsi="Arial" w:cs="Arial"/>
          <w:b/>
          <w:bCs/>
        </w:rPr>
        <w:t xml:space="preserve"> по каждому участвующему лоту</w:t>
      </w:r>
      <w:r w:rsidRPr="001F32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:rsidR="0023529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:rsidR="00235296" w:rsidRPr="00773106" w:rsidRDefault="00235296" w:rsidP="00235296">
      <w:pPr>
        <w:pStyle w:val="a3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в том числе, но не ограничиваясь предоставлением банковской гарантии, договором финансирования третьей стороной (с подтверждением наличия средств) для реализации Проекта, в сумме не менее указанной в бизнес-плане.</w:t>
      </w:r>
    </w:p>
    <w:p w:rsidR="00235296" w:rsidRDefault="00235296"/>
    <w:sectPr w:rsidR="0023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3BA2"/>
    <w:multiLevelType w:val="hybridMultilevel"/>
    <w:tmpl w:val="C6F08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96"/>
    <w:rsid w:val="002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CEF07B-3A92-2244-84B8-74B58F4D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9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29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2026-04-02T12:49:00Z</dcterms:created>
  <dcterms:modified xsi:type="dcterms:W3CDTF">2026-04-02T12:49:00Z</dcterms:modified>
</cp:coreProperties>
</file>