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73C7" w14:textId="77777777" w:rsidR="001D527C" w:rsidRDefault="001D527C" w:rsidP="001D527C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24"/>
          <w:szCs w:val="24"/>
        </w:rPr>
        <w:t xml:space="preserve">Приложение №1 </w:t>
      </w:r>
    </w:p>
    <w:p w14:paraId="2495504B" w14:textId="77777777" w:rsidR="001D527C" w:rsidRDefault="001D527C" w:rsidP="001D527C">
      <w:pPr>
        <w:pStyle w:val="ac"/>
        <w:jc w:val="center"/>
        <w:rPr>
          <w:rFonts w:ascii="Arial" w:hAnsi="Arial" w:cs="Arial"/>
          <w:b/>
          <w:bCs/>
        </w:rPr>
      </w:pPr>
    </w:p>
    <w:p w14:paraId="0F360D2A" w14:textId="77777777" w:rsidR="001D527C" w:rsidRDefault="001D527C" w:rsidP="001D527C">
      <w:pPr>
        <w:pStyle w:val="ac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Квалификационные требования к потенциальным инвесторам.</w:t>
      </w:r>
    </w:p>
    <w:p w14:paraId="27A3B56A" w14:textId="77777777" w:rsidR="001D527C" w:rsidRDefault="001D527C" w:rsidP="001D527C">
      <w:pPr>
        <w:pStyle w:val="ac"/>
        <w:jc w:val="both"/>
        <w:rPr>
          <w:rFonts w:ascii="Arial" w:hAnsi="Arial" w:cs="Arial"/>
        </w:rPr>
      </w:pPr>
    </w:p>
    <w:p w14:paraId="4E735CFA" w14:textId="77777777" w:rsidR="001D527C" w:rsidRDefault="001D527C" w:rsidP="001D527C">
      <w:pPr>
        <w:pStyle w:val="ac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Квалификационные требования для заявителей на конкурс по отбору потенциальных инвесторов:</w:t>
      </w:r>
    </w:p>
    <w:p w14:paraId="3AC2C8E0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государственной регистрации индивидуального предпринимателя, юридического лица и членов консорциума </w:t>
      </w:r>
      <w:r>
        <w:rPr>
          <w:rFonts w:ascii="Arial" w:hAnsi="Arial" w:cs="Arial"/>
          <w:i/>
          <w:iCs/>
          <w:sz w:val="22"/>
          <w:szCs w:val="22"/>
        </w:rPr>
        <w:t>(при консорциальном соглашении)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не менее 6 месяцев, предшествующих дате подачи заявки. При этом допускается, чтобы совокупный срок регистрации участников консорциума соответствовал требованию, если хотя бы один из них зарегистрирован не менее 6 месяцев;</w:t>
      </w:r>
    </w:p>
    <w:p w14:paraId="5DA0FBFC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Отсутствие текущих процедур банкротства и/или ликвидации, реабилитации. Инвестор на момент подачи заявки не является стороной в судебных разбирательствах, за исключением случаев, не препятствующих исполнению им обязательств по проекту; не является ответчиком по неисполненным судебным решениям, на инвестора и его имущество не имеется исполнительного производства. Инвестор и его руководители, учредители не включены в перечень организаций и лиц, связанных с финансированием терроризма и экстремизма;</w:t>
      </w:r>
    </w:p>
    <w:p w14:paraId="03EFDEBF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Безубыточная деятельность за последние 2 года и последний отчетный период потенциального инвестора или его дочернего, аффилированного предприятия, предшествующие дате подачи заявки, согласно финансовой отчетности. В случае срока регистрации юридического лица менее 2 лет обеспечить документами показывающий безубыточной деятельность за весь период с момента его регистрации. Подтверждение безубыточности может осуществляться в совокупности по итогам всех указанных периодов;</w:t>
      </w:r>
    </w:p>
    <w:p w14:paraId="244103F4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Отсутствие просроченной задолженности по налогам и иным обязательным платежам, а также просроченной задолженности перед финансовыми организациями;</w:t>
      </w:r>
    </w:p>
    <w:p w14:paraId="6D4174D0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Предоставление гарантийного обеспечения </w:t>
      </w:r>
      <w:r>
        <w:rPr>
          <w:rFonts w:ascii="Arial" w:hAnsi="Arial" w:cs="Arial"/>
          <w:b/>
          <w:bCs/>
        </w:rPr>
        <w:t>в размере 300 МРП</w:t>
      </w:r>
      <w:r>
        <w:rPr>
          <w:rFonts w:ascii="Arial" w:hAnsi="Arial" w:cs="Arial"/>
        </w:rPr>
        <w:t>, утвержденного на соответствующий год. Гарантийное обеспечение перечисляется на банковский счет Общества, и может быть возвращено, если потенциальный инвестор отказался от дальнейшего участия. При признании потенциального инвестора победителем и заключении договорных отношений с Обществом, гарантийный взнос подлежит возврату после исполнения всех обязательств инвестора перед Обществом по Проекту.</w:t>
      </w:r>
    </w:p>
    <w:p w14:paraId="032B5337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Наличие бизнес-плана и финансовой модели совместного инвестиционного проекта;</w:t>
      </w:r>
    </w:p>
    <w:p w14:paraId="30241E01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предварительного эскизного проекта помещений и предварительной сметы строительных работ; </w:t>
      </w:r>
    </w:p>
    <w:p w14:paraId="749FC89B" w14:textId="77777777" w:rsidR="001D527C" w:rsidRDefault="001D527C" w:rsidP="001D527C">
      <w:pPr>
        <w:pStyle w:val="ac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Документально подтвержденное наличие собственных или заемных средств в том числе, но не ограничиваясь предоставлением банковской гарантии, договором финансирования третьей стороной (с подтверждением наличия средств) для реализации Проекта, в сумме не менее указанной в бизнес-плане.</w:t>
      </w:r>
    </w:p>
    <w:p w14:paraId="30DFD4A7" w14:textId="77777777" w:rsidR="001D527C" w:rsidRDefault="001D527C" w:rsidP="001D527C">
      <w:pPr>
        <w:pStyle w:val="ac"/>
        <w:jc w:val="both"/>
        <w:rPr>
          <w:rFonts w:ascii="Arial" w:hAnsi="Arial" w:cs="Arial"/>
          <w:i/>
        </w:rPr>
      </w:pPr>
    </w:p>
    <w:p w14:paraId="049B4F79" w14:textId="77777777" w:rsidR="00F63690" w:rsidRDefault="00F63690"/>
    <w:sectPr w:rsidR="00F63690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3E14"/>
    <w:multiLevelType w:val="hybridMultilevel"/>
    <w:tmpl w:val="B2666C26"/>
    <w:lvl w:ilvl="0" w:tplc="60480DE4">
      <w:start w:val="1"/>
      <w:numFmt w:val="decimal"/>
      <w:lvlText w:val="%1."/>
      <w:lvlJc w:val="left"/>
      <w:pPr>
        <w:ind w:left="720" w:hanging="360"/>
      </w:pPr>
    </w:lvl>
    <w:lvl w:ilvl="1" w:tplc="3DF2DD9E">
      <w:start w:val="1"/>
      <w:numFmt w:val="lowerLetter"/>
      <w:lvlText w:val="%2."/>
      <w:lvlJc w:val="left"/>
      <w:pPr>
        <w:ind w:left="1440" w:hanging="360"/>
      </w:pPr>
    </w:lvl>
    <w:lvl w:ilvl="2" w:tplc="A5CADB38">
      <w:start w:val="1"/>
      <w:numFmt w:val="lowerRoman"/>
      <w:lvlText w:val="%3."/>
      <w:lvlJc w:val="right"/>
      <w:pPr>
        <w:ind w:left="2160" w:hanging="180"/>
      </w:pPr>
    </w:lvl>
    <w:lvl w:ilvl="3" w:tplc="6FFC8798">
      <w:start w:val="1"/>
      <w:numFmt w:val="decimal"/>
      <w:lvlText w:val="%4."/>
      <w:lvlJc w:val="left"/>
      <w:pPr>
        <w:ind w:left="2880" w:hanging="360"/>
      </w:pPr>
    </w:lvl>
    <w:lvl w:ilvl="4" w:tplc="4D6A587C">
      <w:start w:val="1"/>
      <w:numFmt w:val="lowerLetter"/>
      <w:lvlText w:val="%5."/>
      <w:lvlJc w:val="left"/>
      <w:pPr>
        <w:ind w:left="3600" w:hanging="360"/>
      </w:pPr>
    </w:lvl>
    <w:lvl w:ilvl="5" w:tplc="E4F67720">
      <w:start w:val="1"/>
      <w:numFmt w:val="lowerRoman"/>
      <w:lvlText w:val="%6."/>
      <w:lvlJc w:val="right"/>
      <w:pPr>
        <w:ind w:left="4320" w:hanging="180"/>
      </w:pPr>
    </w:lvl>
    <w:lvl w:ilvl="6" w:tplc="94D40E16">
      <w:start w:val="1"/>
      <w:numFmt w:val="decimal"/>
      <w:lvlText w:val="%7."/>
      <w:lvlJc w:val="left"/>
      <w:pPr>
        <w:ind w:left="5040" w:hanging="360"/>
      </w:pPr>
    </w:lvl>
    <w:lvl w:ilvl="7" w:tplc="AE207B5A">
      <w:start w:val="1"/>
      <w:numFmt w:val="lowerLetter"/>
      <w:lvlText w:val="%8."/>
      <w:lvlJc w:val="left"/>
      <w:pPr>
        <w:ind w:left="5760" w:hanging="360"/>
      </w:pPr>
    </w:lvl>
    <w:lvl w:ilvl="8" w:tplc="B12C8D24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54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41"/>
    <w:rsid w:val="001D527C"/>
    <w:rsid w:val="002846A6"/>
    <w:rsid w:val="00433E41"/>
    <w:rsid w:val="00644B52"/>
    <w:rsid w:val="00971909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3223B-ADBB-4443-87BE-542E58D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27C"/>
    <w:rPr>
      <w:rFonts w:eastAsia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3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E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E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E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E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E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E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E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E4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3E4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E4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E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E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E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E4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E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3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E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33E4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433E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3E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E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3E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3E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3E4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D527C"/>
    <w:rPr>
      <w:rFonts w:asciiTheme="minorHAnsi" w:hAnsiTheme="minorHAnsi" w:cstheme="min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2026-08-26T03:24:00Z</dcterms:created>
  <dcterms:modified xsi:type="dcterms:W3CDTF">2026-08-26T03:25:00Z</dcterms:modified>
</cp:coreProperties>
</file>